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4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NAVICA AI SUBPROCESSOR LIST</w:t>
      </w:r>
    </w:p>
    <w:p>
      <w:pPr>
        <w:spacing w:after="80" w:line="252"/>
      </w:pPr>
      <w:r>
        <w:rPr>
          <w:rFonts w:ascii="Arial" w:cs="Arial" w:eastAsia="Arial" w:hAnsi="Arial"/>
          <w:sz w:val="20"/>
          <w:szCs w:val="20"/>
        </w:rPr>
        <w:t xml:space="preserve">Effective: 10 August 2026</w:t>
      </w:r>
    </w:p>
    <w:p>
      <w:pPr>
        <w:spacing w:after="80" w:line="252"/>
      </w:pPr>
      <w:r>
        <w:rPr>
          <w:rFonts w:ascii="Arial" w:cs="Arial" w:eastAsia="Arial" w:hAnsi="Arial"/>
          <w:sz w:val="20"/>
          <w:szCs w:val="20"/>
        </w:rPr>
        <w:t xml:space="preserve">This list identifies core providers Navica uses to process Personal Data when delivering the Platform and Services. A provider applies only where the corresponding service is enabled or selected for the Customer.</w:t>
      </w:r>
    </w:p>
    <w:p>
      <w:pPr>
        <w:pStyle w:val="Heading1"/>
        <w:spacing w:after="60" w:before="16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Core and conditional providers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3200"/>
        <w:gridCol w:w="3526"/>
      </w:tblGrid>
      <w:tr>
        <w:tc>
          <w:tcPr>
            <w:tcW w:type="dxa" w:w="2300"/>
            <w:tcBorders>
              <w:top w:val="single" w:color="C8D5D8" w:sz="1"/>
              <w:left w:val="single" w:color="C8D5D8" w:sz="1"/>
              <w:bottom w:val="single" w:color="C8D5D8" w:sz="1"/>
              <w:right w:val="single" w:color="C8D5D8" w:sz="1"/>
            </w:tcBorders>
            <w:shd w:fill="E6F0F1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8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Provider</w:t>
            </w:r>
          </w:p>
        </w:tc>
        <w:tc>
          <w:tcPr>
            <w:tcW w:type="dxa" w:w="3200"/>
            <w:tcBorders>
              <w:top w:val="single" w:color="C8D5D8" w:sz="1"/>
              <w:left w:val="single" w:color="C8D5D8" w:sz="1"/>
              <w:bottom w:val="single" w:color="C8D5D8" w:sz="1"/>
              <w:right w:val="single" w:color="C8D5D8" w:sz="1"/>
            </w:tcBorders>
            <w:shd w:fill="E6F0F1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8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Purpose</w:t>
            </w:r>
          </w:p>
        </w:tc>
        <w:tc>
          <w:tcPr>
            <w:tcW w:type="dxa" w:w="3526"/>
            <w:tcBorders>
              <w:top w:val="single" w:color="C8D5D8" w:sz="1"/>
              <w:left w:val="single" w:color="C8D5D8" w:sz="1"/>
              <w:bottom w:val="single" w:color="C8D5D8" w:sz="1"/>
              <w:right w:val="single" w:color="C8D5D8" w:sz="1"/>
            </w:tcBorders>
            <w:shd w:fill="E6F0F1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8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Principal location / transfer approach</w:t>
            </w:r>
          </w:p>
        </w:tc>
      </w:tr>
      <w:tr>
        <w:tc>
          <w:tcPr>
            <w:tcW w:type="dxa" w:w="2300"/>
            <w:tcBorders>
              <w:top w:val="single" w:color="C8D5D8" w:sz="1"/>
              <w:left w:val="single" w:color="C8D5D8" w:sz="1"/>
              <w:bottom w:val="single" w:color="C8D5D8" w:sz="1"/>
              <w:right w:val="single" w:color="C8D5D8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80" w:line="252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Hetzner Online GmbH</w:t>
            </w:r>
          </w:p>
        </w:tc>
        <w:tc>
          <w:tcPr>
            <w:tcW w:type="dxa" w:w="3200"/>
            <w:tcBorders>
              <w:top w:val="single" w:color="C8D5D8" w:sz="1"/>
              <w:left w:val="single" w:color="C8D5D8" w:sz="1"/>
              <w:bottom w:val="single" w:color="C8D5D8" w:sz="1"/>
              <w:right w:val="single" w:color="C8D5D8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80" w:line="252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EEA cloud hosting, compute, databases, storage and network infrastructure.</w:t>
            </w:r>
          </w:p>
        </w:tc>
        <w:tc>
          <w:tcPr>
            <w:tcW w:type="dxa" w:w="3526"/>
            <w:tcBorders>
              <w:top w:val="single" w:color="C8D5D8" w:sz="1"/>
              <w:left w:val="single" w:color="C8D5D8" w:sz="1"/>
              <w:bottom w:val="single" w:color="C8D5D8" w:sz="1"/>
              <w:right w:val="single" w:color="C8D5D8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80" w:line="252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European Union. Core production Customer Data is hosted in the EEA.</w:t>
            </w:r>
          </w:p>
        </w:tc>
      </w:tr>
      <w:tr>
        <w:tc>
          <w:tcPr>
            <w:tcW w:type="dxa" w:w="2300"/>
            <w:tcBorders>
              <w:top w:val="single" w:color="C8D5D8" w:sz="1"/>
              <w:left w:val="single" w:color="C8D5D8" w:sz="1"/>
              <w:bottom w:val="single" w:color="C8D5D8" w:sz="1"/>
              <w:right w:val="single" w:color="C8D5D8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80" w:line="252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OpenAI</w:t>
            </w:r>
          </w:p>
        </w:tc>
        <w:tc>
          <w:tcPr>
            <w:tcW w:type="dxa" w:w="3200"/>
            <w:tcBorders>
              <w:top w:val="single" w:color="C8D5D8" w:sz="1"/>
              <w:left w:val="single" w:color="C8D5D8" w:sz="1"/>
              <w:bottom w:val="single" w:color="C8D5D8" w:sz="1"/>
              <w:right w:val="single" w:color="C8D5D8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80" w:line="252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AI inference and embeddings where an OpenAI capability is enabled or selected.</w:t>
            </w:r>
          </w:p>
        </w:tc>
        <w:tc>
          <w:tcPr>
            <w:tcW w:type="dxa" w:w="3526"/>
            <w:tcBorders>
              <w:top w:val="single" w:color="C8D5D8" w:sz="1"/>
              <w:left w:val="single" w:color="C8D5D8" w:sz="1"/>
              <w:bottom w:val="single" w:color="C8D5D8" w:sz="1"/>
              <w:right w:val="single" w:color="C8D5D8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80" w:line="252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EEA and/or United States. EU adequacy decision for the EU–U.S. Data Privacy Framework where the relevant recipient is actively certified; otherwise 2021 SCCs and supplementary measures as required.</w:t>
            </w:r>
          </w:p>
        </w:tc>
      </w:tr>
      <w:tr>
        <w:tc>
          <w:tcPr>
            <w:tcW w:type="dxa" w:w="2300"/>
            <w:tcBorders>
              <w:top w:val="single" w:color="C8D5D8" w:sz="1"/>
              <w:left w:val="single" w:color="C8D5D8" w:sz="1"/>
              <w:bottom w:val="single" w:color="C8D5D8" w:sz="1"/>
              <w:right w:val="single" w:color="C8D5D8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80" w:line="252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Anthropic</w:t>
            </w:r>
          </w:p>
        </w:tc>
        <w:tc>
          <w:tcPr>
            <w:tcW w:type="dxa" w:w="3200"/>
            <w:tcBorders>
              <w:top w:val="single" w:color="C8D5D8" w:sz="1"/>
              <w:left w:val="single" w:color="C8D5D8" w:sz="1"/>
              <w:bottom w:val="single" w:color="C8D5D8" w:sz="1"/>
              <w:right w:val="single" w:color="C8D5D8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80" w:line="252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Optional AI inference where an Anthropic capability is enabled or selected.</w:t>
            </w:r>
          </w:p>
        </w:tc>
        <w:tc>
          <w:tcPr>
            <w:tcW w:type="dxa" w:w="3526"/>
            <w:tcBorders>
              <w:top w:val="single" w:color="C8D5D8" w:sz="1"/>
              <w:left w:val="single" w:color="C8D5D8" w:sz="1"/>
              <w:bottom w:val="single" w:color="C8D5D8" w:sz="1"/>
              <w:right w:val="single" w:color="C8D5D8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80" w:line="252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EEA and/or United States. Applicable adequacy mechanism where available; otherwise 2021 SCCs and supplementary measures as required.</w:t>
            </w:r>
          </w:p>
        </w:tc>
      </w:tr>
      <w:tr>
        <w:tc>
          <w:tcPr>
            <w:tcW w:type="dxa" w:w="2300"/>
            <w:tcBorders>
              <w:top w:val="single" w:color="C8D5D8" w:sz="1"/>
              <w:left w:val="single" w:color="C8D5D8" w:sz="1"/>
              <w:bottom w:val="single" w:color="C8D5D8" w:sz="1"/>
              <w:right w:val="single" w:color="C8D5D8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80" w:line="252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Zoho</w:t>
            </w:r>
          </w:p>
        </w:tc>
        <w:tc>
          <w:tcPr>
            <w:tcW w:type="dxa" w:w="3200"/>
            <w:tcBorders>
              <w:top w:val="single" w:color="C8D5D8" w:sz="1"/>
              <w:left w:val="single" w:color="C8D5D8" w:sz="1"/>
              <w:bottom w:val="single" w:color="C8D5D8" w:sz="1"/>
              <w:right w:val="single" w:color="C8D5D8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80" w:line="252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Transactional email and, where enabled, identity services.</w:t>
            </w:r>
          </w:p>
        </w:tc>
        <w:tc>
          <w:tcPr>
            <w:tcW w:type="dxa" w:w="3526"/>
            <w:tcBorders>
              <w:top w:val="single" w:color="C8D5D8" w:sz="1"/>
              <w:left w:val="single" w:color="C8D5D8" w:sz="1"/>
              <w:bottom w:val="single" w:color="C8D5D8" w:sz="1"/>
              <w:right w:val="single" w:color="C8D5D8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80" w:line="252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EEA and other documented service locations. Adequacy decision or 2021 SCCs as applicable.</w:t>
            </w:r>
          </w:p>
        </w:tc>
      </w:tr>
      <w:tr>
        <w:tc>
          <w:tcPr>
            <w:tcW w:type="dxa" w:w="2300"/>
            <w:tcBorders>
              <w:top w:val="single" w:color="C8D5D8" w:sz="1"/>
              <w:left w:val="single" w:color="C8D5D8" w:sz="1"/>
              <w:bottom w:val="single" w:color="C8D5D8" w:sz="1"/>
              <w:right w:val="single" w:color="C8D5D8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80" w:line="252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Stripe</w:t>
            </w:r>
          </w:p>
        </w:tc>
        <w:tc>
          <w:tcPr>
            <w:tcW w:type="dxa" w:w="3200"/>
            <w:tcBorders>
              <w:top w:val="single" w:color="C8D5D8" w:sz="1"/>
              <w:left w:val="single" w:color="C8D5D8" w:sz="1"/>
              <w:bottom w:val="single" w:color="C8D5D8" w:sz="1"/>
              <w:right w:val="single" w:color="C8D5D8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80" w:line="252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Subscription billing, payment administration and fraud prevention where paid billing is enabled.</w:t>
            </w:r>
          </w:p>
        </w:tc>
        <w:tc>
          <w:tcPr>
            <w:tcW w:type="dxa" w:w="3526"/>
            <w:tcBorders>
              <w:top w:val="single" w:color="C8D5D8" w:sz="1"/>
              <w:left w:val="single" w:color="C8D5D8" w:sz="1"/>
              <w:bottom w:val="single" w:color="C8D5D8" w:sz="1"/>
              <w:right w:val="single" w:color="C8D5D8" w:sz="1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80" w:line="252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EEA and/or United States. Applicable adequacy mechanism where available; otherwise 2021 SCCs and supplementary measures as required.</w:t>
            </w:r>
          </w:p>
        </w:tc>
      </w:tr>
    </w:tbl>
    <w:p>
      <w:pPr>
        <w:pStyle w:val="Heading1"/>
        <w:spacing w:after="60" w:before="16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Customer-selected third-party services</w:t>
      </w:r>
    </w:p>
    <w:p>
      <w:pPr>
        <w:spacing w:after="80" w:line="252"/>
      </w:pPr>
      <w:r>
        <w:rPr>
          <w:rFonts w:ascii="Arial" w:cs="Arial" w:eastAsia="Arial" w:hAnsi="Arial"/>
          <w:sz w:val="20"/>
          <w:szCs w:val="20"/>
        </w:rPr>
        <w:t xml:space="preserve">A Customer may direct the Platform to connect to external models, data sources, APIs or other services using Customer credentials. Those customer-selected services are governed by their own terms and are not treated as a Navica Subprocessor unless Navica engages the provider to process Personal Data on Navica’s behalf.</w:t>
      </w:r>
    </w:p>
    <w:p>
      <w:pPr>
        <w:pStyle w:val="Heading1"/>
        <w:spacing w:after="60" w:before="16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Changes and objections</w:t>
      </w:r>
    </w:p>
    <w:p>
      <w:pPr>
        <w:spacing w:after="80" w:line="252"/>
      </w:pPr>
      <w:r>
        <w:rPr>
          <w:rFonts w:ascii="Arial" w:cs="Arial" w:eastAsia="Arial" w:hAnsi="Arial"/>
          <w:sz w:val="20"/>
          <w:szCs w:val="20"/>
        </w:rPr>
        <w:t xml:space="preserve">Navica will keep this list current and provide notice of an intended material addition or replacement where required by the DPA or Data Protection Law. A Customer may object on reasonable data-protection grounds within the notice period specified by Navica. Contact privacy@navica.ai for notices, transfer safeguards or questions.</w:t>
      </w:r>
    </w:p>
    <w:sectPr>
      <w:headerReference w:type="default" r:id="rId7"/>
      <w:footerReference w:type="default" r:id="rId8"/>
      <w:pgSz w:w="11906" w:h="16838" w:orient="portrait"/>
      <w:pgMar w:top="1008" w:right="1080" w:bottom="1008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6757D"/>
        <w:sz w:val="17"/>
        <w:szCs w:val="17"/>
      </w:rPr>
      <w:t xml:space="preserve">Navica AI Subprocessor List · Page </w:t>
    </w:r>
    <w:r>
      <w:rPr>
        <w:color w:val="66757D"/>
        <w:sz w:val="17"/>
        <w:szCs w:val="17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center"/>
    </w:pPr>
    <w:r>
      <w:rPr>
        <w:rFonts w:ascii="Arial" w:cs="Arial" w:eastAsia="Arial" w:hAnsi="Arial"/>
        <w:sz w:val="18"/>
        <w:szCs w:val="18"/>
      </w:rPr>
      <w:t xml:space="preserve">NAVICA AI — SUBPROCESSOR LIST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60" w:before="160"/>
      <w:outlineLvl w:val="0"/>
    </w:pPr>
    <w:rPr>
      <w:rFonts w:ascii="Arial" w:cs="Arial" w:eastAsia="Arial" w:hAnsi="Arial"/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2026-08-10T13:38:14.021Z</dcterms:created>
  <dcterms:modified xsi:type="dcterms:W3CDTF">2026-08-10T13:38:14.021Z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