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ns1:Ignorable="w14 w15 wp14">
  <w:body>
    <w:p>
      <w:pPr>
        <w:spacing w:after="1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NAVICA AI SUBPROCESSOR LIST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Updated: 11 September 2026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This list identifies core providers Navica uses to process Personal Data when delivering the Platform and Services. A provider applies only where the corresponding service is enabled or selected for the Customer.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Core and conditional providers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200"/>
        <w:gridCol w:w="3526"/>
      </w:tblGrid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Provider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Purpose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Principal location / transfer approach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Hetzner Online GmbH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cloud hosting, compute, databases, storage and network infrastructure.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European Union. Core production Customer Data is hosted in the EEA.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OpenAI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AI inference and embeddings where an OpenAI capability is enabled or selected.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and/or United States. EU adequacy decision for the EU–U.S. Data Privacy Framework where the relevant recipient is actively certified; otherwise 2021 SCCs and supplementary measures as required.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Anthropic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Optional AI inference where an Anthropic capability is enabled or selected.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and/or United States. Applicable adequacy mechanism where available; otherwise 2021 SCCs and supplementary measures as required.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Zoho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Transactional email and, where enabled, identity services.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 other documented service locations. Adequacy decision or 2021 SCCs as applicable.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Stripe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Subscription billing, payment administration and fraud prevention where paid billing is enabled.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and/or United States. Applicable adequacy mechanism where available; otherwise 2021 SCCs and supplementary measures as required.</w:t>
            </w:r>
          </w:p>
        </w:tc>
      </w:tr>
      <w:tr>
        <w:tc>
          <w:p>
            <w:r>
              <w:t>AlphaAI Technologies Inc. (Tavily)</w:t>
            </w:r>
          </w:p>
        </w:tc>
        <w:tc>
          <w:p>
            <w:r>
              <w:t>Web search and retrieval to support AI responses where web search is enabled. Search queries and associated request data are sent to the service.</w:t>
            </w:r>
          </w:p>
        </w:tc>
        <w:tc>
          <w:p>
            <w:r>
              <w:t>United States. Contact privacy@navica.ai for the applicable international transfer safeguards.</w:t>
            </w:r>
          </w:p>
        </w:tc>
      </w:tr>
    </w:tbl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Customer-selected third-party services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A Customer may direct the Platform to connect to external models, data sources, APIs or other services using Customer credentials. Those customer-selected services are governed by their own terms and are not treated as a Navica Subprocessor unless Navica engages the provider to process Personal Data on Navica’s behalf.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Changes and objections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Navica will keep this list current and provide notice of an intended material addition or replacement where required by the DPA or Data Protection Law. A Customer may object on reasonable data-protection grounds within the notice period specified by Navica. Contact privacy@navica.ai for notices, transfer safeguards or questions.</w:t>
      </w:r>
    </w:p>
    <w:sectPr>
      <w:headerReference w:type="default" ns2:id="rId7"/>
      <w:footerReference w:type="default" ns2:id="rId8"/>
      <w:pgSz w:w="11906" w:h="16838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757D"/>
        <w:sz w:val="17"/>
        <w:szCs w:val="17"/>
      </w:rPr>
      <w:t xml:space="preserve">Navica AI Subprocessor List · Page </w:t>
    </w:r>
    <w:r>
      <w:rPr>
        <w:color w:val="66757D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Arial" w:cs="Arial" w:eastAsia="Arial" w:hAnsi="Arial"/>
        <w:sz w:val="18"/>
        <w:szCs w:val="18"/>
      </w:rPr>
      <w:t xml:space="preserve">NAVICA AI — SUBPROCESSOR 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160"/>
      <w:outlineLvl w:val="0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2026-08-10T13:38:14.021Z</dcterms:created>
  <dcterms:modified xsi:type="dcterms:W3CDTF">2026-08-10T13:38:14.021Z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